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eastAsia" w:ascii="方正小标宋简体" w:hAnsi="方正小标宋简体" w:eastAsia="方正小标宋简体" w:cs="方正小标宋简体"/>
          <w:b/>
          <w:bCs/>
          <w:color w:val="000000" w:themeColor="text1"/>
          <w:kern w:val="2"/>
          <w:sz w:val="44"/>
          <w:szCs w:val="44"/>
        </w:rPr>
      </w:pPr>
      <w:r>
        <w:rPr>
          <w:rFonts w:hint="eastAsia" w:ascii="方正小标宋简体" w:hAnsi="方正小标宋简体" w:eastAsia="方正小标宋简体" w:cs="方正小标宋简体"/>
          <w:b/>
          <w:bCs/>
          <w:color w:val="000000" w:themeColor="text1"/>
          <w:kern w:val="2"/>
          <w:sz w:val="44"/>
          <w:szCs w:val="44"/>
        </w:rPr>
        <w:t>最高人民法院关于依法妥善办理涉新冠肺炎疫情执行案件若干问题的指导意见</w:t>
      </w:r>
    </w:p>
    <w:p>
      <w:pPr>
        <w:pStyle w:val="2"/>
        <w:spacing w:line="600" w:lineRule="exact"/>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333333"/>
          <w:spacing w:val="8"/>
          <w:kern w:val="2"/>
          <w:sz w:val="32"/>
          <w:szCs w:val="32"/>
        </w:rPr>
        <w:t>法发〔2020〕16号</w:t>
      </w:r>
    </w:p>
    <w:p>
      <w:pPr>
        <w:pStyle w:val="2"/>
        <w:spacing w:line="600" w:lineRule="exact"/>
        <w:ind w:firstLine="640" w:firstLineChars="200"/>
        <w:jc w:val="both"/>
        <w:rPr>
          <w:rFonts w:hint="eastAsia" w:hAnsi="Times New Roman"/>
          <w:color w:val="auto"/>
          <w:kern w:val="2"/>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rPr>
      </w:pPr>
      <w:bookmarkStart w:id="0" w:name="_GoBack"/>
      <w:r>
        <w:rPr>
          <w:rFonts w:hint="eastAsia" w:ascii="仿宋_GB2312" w:hAnsi="仿宋_GB2312" w:eastAsia="仿宋_GB2312" w:cs="仿宋_GB2312"/>
          <w:color w:val="auto"/>
          <w:kern w:val="2"/>
          <w:sz w:val="32"/>
          <w:szCs w:val="32"/>
        </w:rPr>
        <w:t>为贯彻落实党中央关于统筹推进新冠肺炎疫情防控和经济社会发展工作部署会议精神，依法妥善办理涉新冠肺炎疫情执行案件，维护人民群众合法权益，维护社会和经济秩序，维护社会公平正义，依照法律、司法解释相关规定，结合执行工作实际，提出如下指导意见。　　　　</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一、充分发挥执行工作的服务保障作用。</w:t>
      </w:r>
      <w:r>
        <w:rPr>
          <w:rFonts w:hint="eastAsia" w:ascii="仿宋_GB2312" w:hAnsi="仿宋_GB2312" w:eastAsia="仿宋_GB2312" w:cs="仿宋_GB2312"/>
          <w:color w:val="auto"/>
          <w:kern w:val="2"/>
          <w:sz w:val="32"/>
          <w:szCs w:val="32"/>
        </w:rPr>
        <w:t>各级人民法院要充分认识此次疫情对经济社会产生的重大影响，立足统筹推进疫情防控和经济社会发展工作大局，充分利用“基本解决执行难”工作成果，有效发挥“统一管理、统一指挥、统一协调”工作机制作用，平稳有序推进执行工作。被执行人有履行能力且具备强制执行条件的，要持续加大执行力度，依法保障胜诉当事人尤其是受疫情影响导致生产生活困难当事人的合法权益。在涉疫情执行案件办理过程中，要准确理解和适用法律，进一步突出强化善意文明执行理念，依法审慎采取强制执行措施，平衡协调各方利益，在依法保障胜诉当事人合法权益的同时，最大限度降低对被执行人权益的影响，积极引导当事人以和解方式化解矛盾纠纷，为统筹推进经济社会发展各项工作提供有力司法服务和保障。　　</w:t>
      </w:r>
      <w:r>
        <w:rPr>
          <w:rFonts w:hint="eastAsia" w:ascii="仿宋_GB2312" w:hAnsi="仿宋_GB2312" w:eastAsia="仿宋_GB2312" w:cs="仿宋_GB2312"/>
          <w:b/>
          <w:bCs/>
          <w:color w:val="auto"/>
          <w:kern w:val="2"/>
          <w:sz w:val="32"/>
          <w:szCs w:val="32"/>
        </w:rPr>
        <w:t>　　</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二、依法中止申请执行时效。</w:t>
      </w:r>
      <w:r>
        <w:rPr>
          <w:rFonts w:hint="eastAsia" w:ascii="仿宋_GB2312" w:hAnsi="仿宋_GB2312" w:eastAsia="仿宋_GB2312" w:cs="仿宋_GB2312"/>
          <w:color w:val="auto"/>
          <w:kern w:val="2"/>
          <w:sz w:val="32"/>
          <w:szCs w:val="32"/>
        </w:rPr>
        <w:t>在申请执行时效期间的最后六个月内，因疫情或者疫情防控措施不能行使请求权，债权人依据《最高人民法院关于适用〈中华人民共和国民事诉讼法〉执行程序若干问题的解释》第二十七条规定主张申请执行时效中止的，人民法院应予支持。　　　　</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三、准确把握查封措施的法律界限。</w:t>
      </w:r>
      <w:r>
        <w:rPr>
          <w:rFonts w:hint="eastAsia" w:ascii="仿宋_GB2312" w:hAnsi="仿宋_GB2312" w:eastAsia="仿宋_GB2312" w:cs="仿宋_GB2312"/>
          <w:color w:val="auto"/>
          <w:kern w:val="2"/>
          <w:sz w:val="32"/>
          <w:szCs w:val="32"/>
        </w:rPr>
        <w:t>坚决禁止超标的查封，严禁违法查封案外人财产，畅通财产查控的救济渠道，加大监督力度，切实防止违法执行或采取过度执行措施影响企业财产效用发挥和企业正常运营。做好审判程序与执行程序的衔接，人民法院审理涉疫情民事案件，要加大对财产保全申请的审查力度，对明显超出诉讼请求范围的超标的部分保全申请，依法不予支持。当事人通过恶意提高诉讼标的等方式超标的申请保全，给对方当事人造成损失的，对方当事人可以就所受损失依法提起诉讼。</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color w:val="auto"/>
          <w:kern w:val="2"/>
          <w:sz w:val="32"/>
          <w:szCs w:val="32"/>
        </w:rPr>
        <w:t>对受疫情影响导致生产生活困难的被执行人，在不影响债权实现的前提下，人民法院应当选择适当的查封措施。被执行人有多项财产可供执行的，应当选择对其生产生活影响较小且方便执行的财产执行。对能“活封”的财产，不进行“死封”。查封厂房、机器设备等生产性资料，被执行人继续使用对该财产价值无重大影响的，应当允许其继续使用。被执行人申请利用查封财产融资清偿债务，经执行债权人同意或者融资款足以清偿所有执行债务的，可以监督其在指定期限内进行融资。查封被执行人在建工程的，原则上应当允许其继续建设。查封被执行人在建商品房或现房的，在确保能够控制相应价款的前提下，可以监督其在指定期限内按照合理价格自行销售房屋。冻结被执行人银行账户内存款的，应当明确具体数额，不得影响冻结之外资金的流转和账户的使用。　　　</w:t>
      </w:r>
      <w:r>
        <w:rPr>
          <w:rFonts w:hint="eastAsia" w:ascii="仿宋_GB2312" w:hAnsi="仿宋_GB2312" w:eastAsia="仿宋_GB2312" w:cs="仿宋_GB2312"/>
          <w:b/>
          <w:bCs/>
          <w:color w:val="auto"/>
          <w:kern w:val="2"/>
          <w:sz w:val="32"/>
          <w:szCs w:val="32"/>
        </w:rPr>
        <w:t>　</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四、有效防止执行财产被低价处置。</w:t>
      </w:r>
      <w:r>
        <w:rPr>
          <w:rFonts w:hint="eastAsia" w:ascii="仿宋_GB2312" w:hAnsi="仿宋_GB2312" w:eastAsia="仿宋_GB2312" w:cs="仿宋_GB2312"/>
          <w:color w:val="auto"/>
          <w:kern w:val="2"/>
          <w:sz w:val="32"/>
          <w:szCs w:val="32"/>
        </w:rPr>
        <w:t>充分发挥网络司法拍卖公开透明、成本低、效率高、受疫情影响小的优势，加快财产变价流程，降低变价成本，为执行债权人及时回笼资金、减轻资金周转压力、恢复生产经营活动提供有力保障。在疫情期间进行网络司法拍卖，也要适当考虑疫情影响和财产实际情况，把握好拍卖时机，有效实现财产变现价值最大化。被执行人有充分证据证明疫情期间进行拍卖将严重贬损其财产价值，申请暂缓或中止拍卖的，人民法院可以准许。拍卖过程中，应当及时全面客观披露财产现状，充分发挥网拍平台、拍卖辅助机构作用，做好拍卖财产在线推介，吸引更多市场主体参与竞买。对财产价值较大、竞拍参与度可能较低的财产，可以确定适当宽松的拍卖价款支付期限。　　　　对于一些专业化程度高、市场受众面较窄的财产，在不影响债权实现的前提下，可以允许被执行人通过其自身专业优势和渠道，灵活采取自行变卖、融资等方式偿还债务。被执行人认为网络询价或评估价过低，申请以不低于网络询价或评估价自行变卖查封财产清偿债务，人民法院经审查认为不损害执行债权人权益的，可以监督其在指定期限内变卖。网络司法拍卖第二次流拍后，被执行人提出以流拍价融资的，人民法院可以结合拍卖财产基本情况、流拍价与市场价差异程度等因素，酌情予以考虑；准许融资的，暂不启动以物抵债或者强制变卖程序。　　　　</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五、依法执行疫情期间减免租金的政策规定。</w:t>
      </w:r>
      <w:r>
        <w:rPr>
          <w:rFonts w:hint="eastAsia" w:ascii="仿宋_GB2312" w:hAnsi="仿宋_GB2312" w:eastAsia="仿宋_GB2312" w:cs="仿宋_GB2312"/>
          <w:color w:val="auto"/>
          <w:kern w:val="2"/>
          <w:sz w:val="32"/>
          <w:szCs w:val="32"/>
        </w:rPr>
        <w:t>人民法院对被执行人的租金债权，可以强制执行。冻结被执行人的租金债权后，承租人在法定期限内提出异议的，依照有关司法解释的规定，人民法院不得对异议部分的租金强制执行。承租人对原租金债权的数额没有异议，但超过法定期限后依照疫情期间对承租国有经营性房屋的中小微企业、个体工商户减免租金的有关政策规定，主张减免租金提出异议，人民法院经审查属实的，应予支持；承租非国有经营性房屋的中小微企业、个体工商户以其与被执行人就疫情期间的租金减免已达成协议为由提出异议，请求对异议部分的租金不予强制执行，人民法院经审查认为租金减免协议真实有效的，应予支持。　　　　</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color w:val="auto"/>
          <w:kern w:val="2"/>
          <w:sz w:val="32"/>
          <w:szCs w:val="32"/>
        </w:rPr>
        <w:t>对受疫情影响较大的中小微企业、个体工商户欠缴租金的涉众型执行案件，人民法院要充分发挥多元化纠纷解决机制作用，根据双方当事人实际情况，制定合理工作方案，依法妥善处理此类案件产生的矛盾纠纷。　　　</w:t>
      </w:r>
      <w:r>
        <w:rPr>
          <w:rFonts w:hint="eastAsia" w:ascii="仿宋_GB2312" w:hAnsi="仿宋_GB2312" w:eastAsia="仿宋_GB2312" w:cs="仿宋_GB2312"/>
          <w:b/>
          <w:bCs/>
          <w:color w:val="auto"/>
          <w:kern w:val="2"/>
          <w:sz w:val="32"/>
          <w:szCs w:val="32"/>
        </w:rPr>
        <w:t>　</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六、强化应用执行和解制度。</w:t>
      </w:r>
      <w:r>
        <w:rPr>
          <w:rFonts w:hint="eastAsia" w:ascii="仿宋_GB2312" w:hAnsi="仿宋_GB2312" w:eastAsia="仿宋_GB2312" w:cs="仿宋_GB2312"/>
          <w:color w:val="auto"/>
          <w:kern w:val="2"/>
          <w:sz w:val="32"/>
          <w:szCs w:val="32"/>
        </w:rPr>
        <w:t>被执行人受疫情影响导致生产生活困难，无法及时履行生效法律文书确定义务的，人民法院要积极引导当事人协商和解，为被执行人缓解债务压力、恢复正常生产生活创造便利条件。当事人在疫情发生前已经达成和解，确因疫情或者疫情防控措施直接导致无法按照和解协议约定期限履行，申请执行人据此申请恢复执行原生效法律文书的，人民法院不予支持，但当事人另有约定的除外；和解协议已经履行不能或者因迟延履行导致和解协议目的不能实现的，应当及时恢复执行。　　　　</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七、精准适用失信惩戒和限制消费措施。</w:t>
      </w:r>
      <w:r>
        <w:rPr>
          <w:rFonts w:hint="eastAsia" w:ascii="仿宋_GB2312" w:hAnsi="仿宋_GB2312" w:eastAsia="仿宋_GB2312" w:cs="仿宋_GB2312"/>
          <w:color w:val="auto"/>
          <w:kern w:val="2"/>
          <w:sz w:val="32"/>
          <w:szCs w:val="32"/>
        </w:rPr>
        <w:t>有效发挥失信惩戒和限制消费措施的惩戒作用，重点打击规避执行、抗拒执行等违法失信行为，进一步推动国家信用体系建设和营商环境改善。建立健全惩戒分级分类机制，准确把握失信惩戒和限制消费措施的适用条件，持续推动惩戒措施向精细化、精准化方向转变。疫情期间，对已纳入发展改革、工业和信息化部门确定的全国性或地方性疫情防控重点保障企业名单的企业，原则上不得采取失信惩戒和限制消费措施；已经采取并妨碍疫情防控工作的，要及时解除并向申请执行人说明有关情况。对未纳入重点保障企业名单的疫情防控企业采取失信惩戒和限制消费措施的，可以根据具体情况参照前述规定办理。对受疫情影响较大、暂时经营困难的企业尤其是中小微企业，人民法院在依法采取失信惩戒或者限制消费措施前，原则上要给予三个月的宽限期。　　　　</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color w:val="auto"/>
          <w:kern w:val="2"/>
          <w:sz w:val="32"/>
          <w:szCs w:val="32"/>
        </w:rPr>
        <w:t>健全完善信用修复机制，失信名单信息依法应当删除或撤销的，应当及时采取删除或撤销措施。失信名单信息被依法删除或撤销，被执行人因求职、借贷等被有关单位要求提供信用修复证明的，经被执行人申请，人民法院可以就删除或撤销情况出具相关证明材料。受疫情影响较大的被执行企业尤其是中小微企业确因复工复产需要，申请暂时解除失信惩戒措施的，人民法院应当积极与申请执行人沟通，在征得其同意后及时予以解除。　　　</w:t>
      </w:r>
      <w:r>
        <w:rPr>
          <w:rFonts w:hint="eastAsia" w:ascii="仿宋_GB2312" w:hAnsi="仿宋_GB2312" w:eastAsia="仿宋_GB2312" w:cs="仿宋_GB2312"/>
          <w:b/>
          <w:bCs/>
          <w:color w:val="auto"/>
          <w:kern w:val="2"/>
          <w:sz w:val="32"/>
          <w:szCs w:val="32"/>
        </w:rPr>
        <w:t>　</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八、合理减免被执行人加倍部分债务利息。</w:t>
      </w:r>
      <w:r>
        <w:rPr>
          <w:rFonts w:hint="eastAsia" w:ascii="仿宋_GB2312" w:hAnsi="仿宋_GB2312" w:eastAsia="仿宋_GB2312" w:cs="仿宋_GB2312"/>
          <w:color w:val="auto"/>
          <w:kern w:val="2"/>
          <w:sz w:val="32"/>
          <w:szCs w:val="32"/>
        </w:rPr>
        <w:t>被执行人以疫情或者疫情防控措施直接导致其无法及时履行义务为由，申请减免《中华人民共和国民事诉讼法》第二百五十三条规定的相应期间的加倍部分债务利息，人民法院经审查属实的，应予支持；被执行人申请减免生效法律文书确定的一般债务利息的，不予支持，但申请执行人同意的除外。　　　</w:t>
      </w:r>
      <w:r>
        <w:rPr>
          <w:rFonts w:hint="eastAsia" w:ascii="仿宋_GB2312" w:hAnsi="仿宋_GB2312" w:eastAsia="仿宋_GB2312" w:cs="仿宋_GB2312"/>
          <w:b/>
          <w:bCs/>
          <w:color w:val="auto"/>
          <w:kern w:val="2"/>
          <w:sz w:val="32"/>
          <w:szCs w:val="32"/>
        </w:rPr>
        <w:t>　</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九、充分发挥破产和解、重整制度的保护功能。</w:t>
      </w:r>
      <w:r>
        <w:rPr>
          <w:rFonts w:hint="eastAsia" w:ascii="仿宋_GB2312" w:hAnsi="仿宋_GB2312" w:eastAsia="仿宋_GB2312" w:cs="仿宋_GB2312"/>
          <w:color w:val="auto"/>
          <w:kern w:val="2"/>
          <w:sz w:val="32"/>
          <w:szCs w:val="32"/>
        </w:rPr>
        <w:t>对执行债权人人数众多，特别是多个执行债权人正在申请分配案款的案件，被执行企业因疫情影响导致生产经营困难不能清偿所有执行债务的，人民法院要积极引导各方当事人进行协商，依法为被执行企业缓解债务压力、恢复生产经营创造条件；多个案件由不同法院管辖的，上级法院要加强统筹协调，通过提级执行、指定执行等方式协调案件进行集中办理，力争促成各方当事人达成解决债务的“一揽子”协议。当事人未能达成协议且案件符合移送破产审查条件，通过破产和解或重整能够帮助被执行企业恢复经营的，人民法院要进一步加强立审执协调配合，畅通执行移送破产工作渠道，充分发挥破产和解和破产重整制度的保护功能，帮助企业及时走出困境。人民法院在执行过程中，要严格防止被执行企业通过破产程序逃避债务，依法保障执行债权人合法权益。　　　</w:t>
      </w:r>
      <w:r>
        <w:rPr>
          <w:rFonts w:hint="eastAsia" w:ascii="仿宋_GB2312" w:hAnsi="仿宋_GB2312" w:eastAsia="仿宋_GB2312" w:cs="仿宋_GB2312"/>
          <w:b/>
          <w:bCs/>
          <w:color w:val="auto"/>
          <w:kern w:val="2"/>
          <w:sz w:val="32"/>
          <w:szCs w:val="32"/>
        </w:rPr>
        <w:t>　</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2"/>
          <w:sz w:val="32"/>
          <w:szCs w:val="32"/>
        </w:rPr>
        <w:t>十、充分利用信息化手段推动执行工作。</w:t>
      </w:r>
      <w:r>
        <w:rPr>
          <w:rFonts w:hint="eastAsia" w:ascii="仿宋_GB2312" w:hAnsi="仿宋_GB2312" w:eastAsia="仿宋_GB2312" w:cs="仿宋_GB2312"/>
          <w:color w:val="auto"/>
          <w:kern w:val="2"/>
          <w:sz w:val="32"/>
          <w:szCs w:val="32"/>
        </w:rPr>
        <w:t>充分利用“智慧法院”建设成果，特别是以现代信息技术为支撑的执行信息化系统，强化上级法院对下级法院执行工作的监督管理，提高执行效率，降低执行成本，提高执行效果，降低负面效应，避免引发新的矛盾和纠纷。依法优先采取网络查控、网络询价、网络司法拍卖、网络收发案款等在线执行措施，积极通过线上方式开展立案、询问谈话、执行和解、申诉信访、执行辅助等工作，充分满足人民群众的司法需求，确保疫情期间人民法院执行工作平稳有序运行。</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path/>
          <v:fill on="f" focussize="0,0"/>
          <v:stroke on="f" weight="0.5pt" joinstyle="miter"/>
          <v:imagedata o:title=""/>
          <o:lock v:ext="edit"/>
          <v:textbox inset="0mm,0mm,0mm,0mm" style="mso-fit-shape-to-text:t;">
            <w:txbxContent>
              <w:p>
                <w:pPr>
                  <w:pStyle w:val="3"/>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rPr>
                  <w:t>6</w:t>
                </w:r>
                <w:r>
                  <w:rPr>
                    <w:rFonts w:hint="eastAsia" w:ascii="仿宋_GB2312" w:eastAsia="仿宋_GB2312"/>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A1856A4"/>
    <w:rsid w:val="00030652"/>
    <w:rsid w:val="000820B2"/>
    <w:rsid w:val="000B1A14"/>
    <w:rsid w:val="00200224"/>
    <w:rsid w:val="00231D79"/>
    <w:rsid w:val="00235E1D"/>
    <w:rsid w:val="0027475F"/>
    <w:rsid w:val="002F2E0B"/>
    <w:rsid w:val="002F3532"/>
    <w:rsid w:val="00345EBF"/>
    <w:rsid w:val="00354E9A"/>
    <w:rsid w:val="00510F6F"/>
    <w:rsid w:val="0053068E"/>
    <w:rsid w:val="00567E7B"/>
    <w:rsid w:val="005F68AB"/>
    <w:rsid w:val="006725C6"/>
    <w:rsid w:val="006C04EC"/>
    <w:rsid w:val="006F7CBD"/>
    <w:rsid w:val="00783C7E"/>
    <w:rsid w:val="007F702C"/>
    <w:rsid w:val="008F1431"/>
    <w:rsid w:val="009D0436"/>
    <w:rsid w:val="009F7E9E"/>
    <w:rsid w:val="00AD20C8"/>
    <w:rsid w:val="00B17EF7"/>
    <w:rsid w:val="00D00878"/>
    <w:rsid w:val="00D16950"/>
    <w:rsid w:val="00DA5063"/>
    <w:rsid w:val="00DD7B13"/>
    <w:rsid w:val="00EB3363"/>
    <w:rsid w:val="00F00263"/>
    <w:rsid w:val="00F05E60"/>
    <w:rsid w:val="00F43B97"/>
    <w:rsid w:val="00FB5918"/>
    <w:rsid w:val="00FC591C"/>
    <w:rsid w:val="01317C76"/>
    <w:rsid w:val="068C4F21"/>
    <w:rsid w:val="0926706F"/>
    <w:rsid w:val="0D392D1D"/>
    <w:rsid w:val="0EA564FB"/>
    <w:rsid w:val="116E49F2"/>
    <w:rsid w:val="11C33A30"/>
    <w:rsid w:val="13BB3CD5"/>
    <w:rsid w:val="184014C5"/>
    <w:rsid w:val="19A85E24"/>
    <w:rsid w:val="1AD6291B"/>
    <w:rsid w:val="1D703D1A"/>
    <w:rsid w:val="27432B30"/>
    <w:rsid w:val="286A1E23"/>
    <w:rsid w:val="289F6498"/>
    <w:rsid w:val="29686C78"/>
    <w:rsid w:val="29AC599B"/>
    <w:rsid w:val="2B820947"/>
    <w:rsid w:val="2EDF6848"/>
    <w:rsid w:val="3029401D"/>
    <w:rsid w:val="342364EA"/>
    <w:rsid w:val="35095309"/>
    <w:rsid w:val="36DB60A3"/>
    <w:rsid w:val="392033AA"/>
    <w:rsid w:val="3EDB3EBE"/>
    <w:rsid w:val="3F371368"/>
    <w:rsid w:val="4A1856A4"/>
    <w:rsid w:val="4C2011A6"/>
    <w:rsid w:val="4F90650C"/>
    <w:rsid w:val="4FD904BB"/>
    <w:rsid w:val="52AE6D7A"/>
    <w:rsid w:val="555D69DB"/>
    <w:rsid w:val="55C01D68"/>
    <w:rsid w:val="56270EE5"/>
    <w:rsid w:val="57685E74"/>
    <w:rsid w:val="59214C5F"/>
    <w:rsid w:val="59FC5529"/>
    <w:rsid w:val="618F4439"/>
    <w:rsid w:val="62E66145"/>
    <w:rsid w:val="657A6A8E"/>
    <w:rsid w:val="65A20349"/>
    <w:rsid w:val="65F03E53"/>
    <w:rsid w:val="67D0598D"/>
    <w:rsid w:val="6B2672C6"/>
    <w:rsid w:val="6C4105FD"/>
    <w:rsid w:val="713A12F3"/>
    <w:rsid w:val="72F66BE7"/>
    <w:rsid w:val="73164EFF"/>
    <w:rsid w:val="73DA5D0C"/>
    <w:rsid w:val="755706AF"/>
    <w:rsid w:val="7637726D"/>
    <w:rsid w:val="77834BF5"/>
    <w:rsid w:val="79212C15"/>
    <w:rsid w:val="79852015"/>
    <w:rsid w:val="7A23187B"/>
    <w:rsid w:val="7FA0710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iPriority w:val="99"/>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rFonts w:ascii="Calibri" w:hAnsi="Calibri"/>
      <w:kern w:val="0"/>
      <w:sz w:val="24"/>
    </w:rPr>
  </w:style>
  <w:style w:type="character" w:styleId="8">
    <w:name w:val="Strong"/>
    <w:basedOn w:val="7"/>
    <w:qFormat/>
    <w:uiPriority w:val="22"/>
    <w:rPr>
      <w:rFonts w:cs="Times New Roman"/>
      <w:b/>
      <w:bCs/>
    </w:rPr>
  </w:style>
  <w:style w:type="character" w:styleId="9">
    <w:name w:val="page number"/>
    <w:basedOn w:val="7"/>
    <w:qFormat/>
    <w:uiPriority w:val="99"/>
    <w:rPr>
      <w:rFonts w:cs="Times New Roman"/>
    </w:rPr>
  </w:style>
  <w:style w:type="character" w:customStyle="1" w:styleId="10">
    <w:name w:val="页脚 Char"/>
    <w:basedOn w:val="7"/>
    <w:link w:val="3"/>
    <w:semiHidden/>
    <w:qFormat/>
    <w:uiPriority w:val="99"/>
    <w:rPr>
      <w:sz w:val="18"/>
      <w:szCs w:val="18"/>
    </w:rPr>
  </w:style>
  <w:style w:type="character" w:customStyle="1" w:styleId="11">
    <w:name w:val="页眉 Char"/>
    <w:basedOn w:val="7"/>
    <w:link w:val="4"/>
    <w:semiHidden/>
    <w:qFormat/>
    <w:uiPriority w:val="99"/>
    <w:rPr>
      <w:sz w:val="18"/>
      <w:szCs w:val="18"/>
    </w:rPr>
  </w:style>
  <w:style w:type="paragraph" w:customStyle="1" w:styleId="12">
    <w:name w:val="正文 A"/>
    <w:qFormat/>
    <w:uiPriority w:val="99"/>
    <w:pPr>
      <w:framePr w:wrap="around" w:vAnchor="margin" w:hAnchor="text" w:y="1"/>
      <w:widowControl w:val="0"/>
      <w:jc w:val="both"/>
    </w:pPr>
    <w:rPr>
      <w:rFonts w:ascii="Arial Unicode MS"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548</Words>
  <Characters>3124</Characters>
  <Lines>26</Lines>
  <Paragraphs>7</Paragraphs>
  <TotalTime>178</TotalTime>
  <ScaleCrop>false</ScaleCrop>
  <LinksUpToDate>false</LinksUpToDate>
  <CharactersWithSpaces>3665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2019-11-19T00:50:00Z</dcterms:created>
  <dc:creator>我们仨</dc:creator>
  <cp:lastModifiedBy>shizh</cp:lastModifiedBy>
  <cp:lastPrinted>2019-11-19T07:00:00Z</cp:lastPrinted>
  <dcterms:modified xsi:type="dcterms:W3CDTF">2021-07-29T07:21:49Z</dcterms:modified>
  <dc:title>郑州两级法院主要工作情况汇报</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ACDE7E86DB3D4758A83168DEFDEE5852</vt:lpwstr>
  </property>
</Properties>
</file>